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KWMP6GK7R9Q00HGQPRNQL057N8MOSGR9F0XLJEOXF88TQCTZ0BRICJWFYRHPFIRXXMXJOLHZHKD8IEJQNFTKF8D8RM0WHWBANODDHB3D47094D9FDC90E618DF2CB740FB57581" Type="http://schemas.microsoft.com/office/2006/relationships/officeDocumentMain" Target="NULL"/><Relationship Id="CVWM06BW79TQ0T9GRGRNDLJF7NZMOSVREO0XXJDTXFF8TDLTZDBRQC0QFY9TPFIRXXMXOOL0ZIX78MEJRJFTVFFT8RN0WHLB8EODYHB36EF0C32E1804F1C19EA78EFF891FB83E" Type="http://schemas.microsoft.com/office/2006/relationships/officeDocumentExtended" Target="NUL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BB8" w:rsidRDefault="00C51BB8" w:rsidP="00C51BB8">
      <w:pPr>
        <w:jc w:val="center"/>
        <w:outlineLvl w:val="0"/>
        <w:rPr>
          <w:rFonts w:ascii="方正小标宋简体" w:eastAsia="方正小标宋简体" w:hAnsiTheme="majorEastAsia"/>
          <w:sz w:val="44"/>
          <w:szCs w:val="44"/>
        </w:rPr>
      </w:pPr>
      <w:bookmarkStart w:id="0" w:name="_GoBack"/>
      <w:r w:rsidRPr="0041139F">
        <w:rPr>
          <w:rFonts w:ascii="方正小标宋简体" w:eastAsia="方正小标宋简体" w:hAnsiTheme="majorEastAsia" w:hint="eastAsia"/>
          <w:sz w:val="44"/>
          <w:szCs w:val="44"/>
        </w:rPr>
        <w:t>深交所投教丨基础设施公募REITs业务之</w:t>
      </w:r>
      <w:r w:rsidR="001D08D4">
        <w:rPr>
          <w:rFonts w:ascii="方正小标宋简体" w:eastAsia="方正小标宋简体" w:hAnsiTheme="majorEastAsia" w:hint="eastAsia"/>
          <w:sz w:val="44"/>
          <w:szCs w:val="44"/>
        </w:rPr>
        <w:t>基金</w:t>
      </w:r>
      <w:r>
        <w:rPr>
          <w:rFonts w:ascii="方正小标宋简体" w:eastAsia="方正小标宋简体" w:hAnsiTheme="majorEastAsia" w:hint="eastAsia"/>
          <w:sz w:val="44"/>
          <w:szCs w:val="44"/>
        </w:rPr>
        <w:t>发售</w:t>
      </w:r>
      <w:r w:rsidRPr="0041139F">
        <w:rPr>
          <w:rFonts w:ascii="方正小标宋简体" w:eastAsia="方正小标宋简体" w:hAnsiTheme="majorEastAsia" w:hint="eastAsia"/>
          <w:sz w:val="44"/>
          <w:szCs w:val="44"/>
        </w:rPr>
        <w:t>ABC（</w:t>
      </w:r>
      <w:r w:rsidR="006B2F42">
        <w:rPr>
          <w:rFonts w:ascii="方正小标宋简体" w:eastAsia="方正小标宋简体" w:hAnsiTheme="majorEastAsia" w:hint="eastAsia"/>
          <w:sz w:val="44"/>
          <w:szCs w:val="44"/>
        </w:rPr>
        <w:t>三</w:t>
      </w:r>
      <w:r w:rsidRPr="0041139F">
        <w:rPr>
          <w:rFonts w:ascii="方正小标宋简体" w:eastAsia="方正小标宋简体" w:hAnsiTheme="majorEastAsia" w:hint="eastAsia"/>
          <w:sz w:val="44"/>
          <w:szCs w:val="44"/>
        </w:rPr>
        <w:t>）</w:t>
      </w:r>
    </w:p>
    <w:p w:rsidR="00C51BB8" w:rsidRPr="00A243C2" w:rsidRDefault="00C51BB8" w:rsidP="00C51BB8">
      <w:pPr>
        <w:rPr>
          <w:rFonts w:ascii="仿宋" w:eastAsia="仿宋" w:hAnsi="仿宋"/>
          <w:b/>
          <w:sz w:val="32"/>
          <w:szCs w:val="32"/>
        </w:rPr>
      </w:pPr>
    </w:p>
    <w:p w:rsidR="00C51BB8" w:rsidRDefault="00C51BB8" w:rsidP="00C51BB8">
      <w:pPr>
        <w:rPr>
          <w:rFonts w:ascii="仿宋" w:eastAsia="仿宋" w:hAnsi="仿宋"/>
          <w:b/>
          <w:sz w:val="32"/>
          <w:szCs w:val="32"/>
        </w:rPr>
      </w:pPr>
      <w:r w:rsidRPr="00A243C2">
        <w:rPr>
          <w:rFonts w:ascii="仿宋" w:eastAsia="仿宋" w:hAnsi="仿宋" w:hint="eastAsia"/>
          <w:b/>
          <w:sz w:val="32"/>
          <w:szCs w:val="32"/>
        </w:rPr>
        <w:t>编者按：为帮助投资者充分了解基础设施公募REITs业务相关规则，深交所投教中心特别推出基础设施公募REITs系列解读文章。本篇为第</w:t>
      </w:r>
      <w:r w:rsidR="006B2F42">
        <w:rPr>
          <w:rFonts w:ascii="仿宋" w:eastAsia="仿宋" w:hAnsi="仿宋" w:hint="eastAsia"/>
          <w:b/>
          <w:sz w:val="32"/>
          <w:szCs w:val="32"/>
        </w:rPr>
        <w:t>五</w:t>
      </w:r>
      <w:r w:rsidRPr="00A243C2">
        <w:rPr>
          <w:rFonts w:ascii="仿宋" w:eastAsia="仿宋" w:hAnsi="仿宋" w:hint="eastAsia"/>
          <w:b/>
          <w:sz w:val="32"/>
          <w:szCs w:val="32"/>
        </w:rPr>
        <w:t>篇，主要介绍基础设施公募REITs</w:t>
      </w:r>
      <w:r>
        <w:rPr>
          <w:rFonts w:ascii="仿宋" w:eastAsia="仿宋" w:hAnsi="仿宋" w:hint="eastAsia"/>
          <w:b/>
          <w:sz w:val="32"/>
          <w:szCs w:val="32"/>
        </w:rPr>
        <w:t>发售业务</w:t>
      </w:r>
      <w:r w:rsidR="00884F6B">
        <w:rPr>
          <w:rFonts w:ascii="仿宋" w:eastAsia="仿宋" w:hAnsi="仿宋" w:hint="eastAsia"/>
          <w:b/>
          <w:sz w:val="32"/>
          <w:szCs w:val="32"/>
        </w:rPr>
        <w:t>中的认购环节</w:t>
      </w:r>
      <w:r w:rsidRPr="00A243C2">
        <w:rPr>
          <w:rFonts w:ascii="仿宋" w:eastAsia="仿宋" w:hAnsi="仿宋" w:hint="eastAsia"/>
          <w:b/>
          <w:sz w:val="32"/>
          <w:szCs w:val="32"/>
        </w:rPr>
        <w:t>，一起来看看。</w:t>
      </w:r>
    </w:p>
    <w:p w:rsidR="00106344" w:rsidRPr="00444705" w:rsidRDefault="00106344" w:rsidP="00CE1F35">
      <w:pPr>
        <w:rPr>
          <w:rFonts w:ascii="仿宋" w:eastAsia="仿宋" w:hAnsi="仿宋"/>
          <w:sz w:val="32"/>
          <w:szCs w:val="32"/>
        </w:rPr>
      </w:pPr>
    </w:p>
    <w:p w:rsidR="006B2F42" w:rsidRPr="00444705" w:rsidRDefault="006B2F42" w:rsidP="006B2F42">
      <w:pPr>
        <w:pStyle w:val="a7"/>
        <w:numPr>
          <w:ilvl w:val="0"/>
          <w:numId w:val="3"/>
        </w:numPr>
        <w:ind w:firstLineChars="0"/>
        <w:outlineLvl w:val="1"/>
        <w:rPr>
          <w:rFonts w:ascii="仿宋" w:eastAsia="仿宋" w:hAnsi="仿宋"/>
          <w:b/>
          <w:sz w:val="32"/>
          <w:szCs w:val="32"/>
        </w:rPr>
      </w:pPr>
      <w:r w:rsidRPr="00444705">
        <w:rPr>
          <w:rFonts w:ascii="仿宋" w:eastAsia="仿宋" w:hAnsi="仿宋" w:hint="eastAsia"/>
          <w:b/>
          <w:sz w:val="32"/>
          <w:szCs w:val="32"/>
        </w:rPr>
        <w:t>投资者应</w:t>
      </w:r>
      <w:r w:rsidR="00E014BD">
        <w:rPr>
          <w:rFonts w:ascii="仿宋" w:eastAsia="仿宋" w:hAnsi="仿宋" w:hint="eastAsia"/>
          <w:b/>
          <w:sz w:val="32"/>
          <w:szCs w:val="32"/>
        </w:rPr>
        <w:t>使</w:t>
      </w:r>
      <w:r w:rsidRPr="00444705">
        <w:rPr>
          <w:rFonts w:ascii="仿宋" w:eastAsia="仿宋" w:hAnsi="仿宋" w:hint="eastAsia"/>
          <w:b/>
          <w:sz w:val="32"/>
          <w:szCs w:val="32"/>
        </w:rPr>
        <w:t>用什么账户参与基础设施基金认购？</w:t>
      </w:r>
    </w:p>
    <w:p w:rsidR="006B2F42" w:rsidRPr="00106344" w:rsidRDefault="006B2F42" w:rsidP="006B2F42">
      <w:pPr>
        <w:pStyle w:val="a7"/>
        <w:ind w:left="420" w:firstLine="640"/>
        <w:outlineLvl w:val="1"/>
        <w:rPr>
          <w:rFonts w:ascii="仿宋" w:eastAsia="仿宋" w:hAnsi="仿宋"/>
          <w:sz w:val="32"/>
          <w:szCs w:val="32"/>
        </w:rPr>
      </w:pPr>
      <w:r w:rsidRPr="00106344">
        <w:rPr>
          <w:rFonts w:ascii="仿宋" w:eastAsia="仿宋" w:hAnsi="仿宋" w:hint="eastAsia"/>
          <w:sz w:val="32"/>
          <w:szCs w:val="32"/>
        </w:rPr>
        <w:t>投资者参与基础设施基金场内认购</w:t>
      </w:r>
      <w:r>
        <w:rPr>
          <w:rFonts w:ascii="仿宋" w:eastAsia="仿宋" w:hAnsi="仿宋" w:hint="eastAsia"/>
          <w:sz w:val="32"/>
          <w:szCs w:val="32"/>
        </w:rPr>
        <w:t>的，应当持有中国结算深圳人民币普通股票账户或封闭式基金账户（统称场内证券账户）；</w:t>
      </w:r>
      <w:r w:rsidRPr="00106344">
        <w:rPr>
          <w:rFonts w:ascii="仿宋" w:eastAsia="仿宋" w:hAnsi="仿宋" w:hint="eastAsia"/>
          <w:sz w:val="32"/>
          <w:szCs w:val="32"/>
        </w:rPr>
        <w:t>投资者参与基础设施基金场外认购的，应当持有中国结算开放式基金账户（即场外基金账户）。</w:t>
      </w:r>
    </w:p>
    <w:p w:rsidR="006B2F42" w:rsidRDefault="00061AC6" w:rsidP="006B2F42">
      <w:pPr>
        <w:pStyle w:val="a7"/>
        <w:ind w:left="420" w:firstLine="640"/>
        <w:outlineLvl w:val="1"/>
        <w:rPr>
          <w:rFonts w:ascii="仿宋" w:eastAsia="仿宋" w:hAnsi="仿宋"/>
          <w:sz w:val="32"/>
          <w:szCs w:val="32"/>
        </w:rPr>
      </w:pPr>
      <w:r>
        <w:rPr>
          <w:rFonts w:ascii="仿宋" w:eastAsia="仿宋" w:hAnsi="仿宋" w:hint="eastAsia"/>
          <w:sz w:val="32"/>
          <w:szCs w:val="32"/>
        </w:rPr>
        <w:t>基础</w:t>
      </w:r>
      <w:r w:rsidR="0026529D">
        <w:rPr>
          <w:rFonts w:ascii="仿宋" w:eastAsia="仿宋" w:hAnsi="仿宋" w:hint="eastAsia"/>
          <w:sz w:val="32"/>
          <w:szCs w:val="32"/>
        </w:rPr>
        <w:t>设施基金上市后，</w:t>
      </w:r>
      <w:r w:rsidR="006B2F42">
        <w:rPr>
          <w:rFonts w:ascii="仿宋" w:eastAsia="仿宋" w:hAnsi="仿宋" w:hint="eastAsia"/>
          <w:sz w:val="32"/>
          <w:szCs w:val="32"/>
        </w:rPr>
        <w:t>投资者使用场内证券账户认购的基金份额，可直接参与</w:t>
      </w:r>
      <w:r w:rsidR="006B2F42" w:rsidRPr="00106344">
        <w:rPr>
          <w:rFonts w:ascii="仿宋" w:eastAsia="仿宋" w:hAnsi="仿宋" w:hint="eastAsia"/>
          <w:sz w:val="32"/>
          <w:szCs w:val="32"/>
        </w:rPr>
        <w:t>场内交易；使用场外基金账户认购的</w:t>
      </w:r>
      <w:r w:rsidR="0026529D">
        <w:rPr>
          <w:rFonts w:ascii="仿宋" w:eastAsia="仿宋" w:hAnsi="仿宋" w:hint="eastAsia"/>
          <w:sz w:val="32"/>
          <w:szCs w:val="32"/>
        </w:rPr>
        <w:t>基金份额</w:t>
      </w:r>
      <w:r w:rsidR="006B2F42" w:rsidRPr="00106344">
        <w:rPr>
          <w:rFonts w:ascii="仿宋" w:eastAsia="仿宋" w:hAnsi="仿宋" w:hint="eastAsia"/>
          <w:sz w:val="32"/>
          <w:szCs w:val="32"/>
        </w:rPr>
        <w:t>，应先转托管至场内证券经营机构后，</w:t>
      </w:r>
      <w:r w:rsidR="006B2F42">
        <w:rPr>
          <w:rFonts w:ascii="仿宋" w:eastAsia="仿宋" w:hAnsi="仿宋" w:hint="eastAsia"/>
          <w:sz w:val="32"/>
          <w:szCs w:val="32"/>
        </w:rPr>
        <w:t>才可参与</w:t>
      </w:r>
      <w:r w:rsidR="006B2F42" w:rsidRPr="00106344">
        <w:rPr>
          <w:rFonts w:ascii="仿宋" w:eastAsia="仿宋" w:hAnsi="仿宋" w:hint="eastAsia"/>
          <w:sz w:val="32"/>
          <w:szCs w:val="32"/>
        </w:rPr>
        <w:t>场内交易。</w:t>
      </w:r>
    </w:p>
    <w:p w:rsidR="006B2F42" w:rsidRDefault="006B2F42" w:rsidP="00B3397A">
      <w:pPr>
        <w:pStyle w:val="a7"/>
        <w:numPr>
          <w:ilvl w:val="0"/>
          <w:numId w:val="3"/>
        </w:numPr>
        <w:ind w:firstLineChars="0"/>
        <w:outlineLvl w:val="1"/>
        <w:rPr>
          <w:rFonts w:ascii="仿宋" w:eastAsia="仿宋" w:hAnsi="仿宋"/>
          <w:b/>
          <w:sz w:val="32"/>
          <w:szCs w:val="32"/>
        </w:rPr>
      </w:pPr>
      <w:r>
        <w:rPr>
          <w:rFonts w:ascii="仿宋" w:eastAsia="仿宋" w:hAnsi="仿宋" w:hint="eastAsia"/>
          <w:b/>
          <w:sz w:val="32"/>
          <w:szCs w:val="32"/>
        </w:rPr>
        <w:t>战略投资者如何认购基础设施基金？</w:t>
      </w:r>
    </w:p>
    <w:p w:rsidR="006B2F42" w:rsidRPr="00F70F61" w:rsidRDefault="006B2F42" w:rsidP="00F70F61">
      <w:pPr>
        <w:pStyle w:val="a7"/>
        <w:ind w:left="420" w:firstLine="640"/>
        <w:outlineLvl w:val="1"/>
        <w:rPr>
          <w:rFonts w:ascii="仿宋" w:eastAsia="仿宋" w:hAnsi="仿宋"/>
          <w:sz w:val="32"/>
          <w:szCs w:val="32"/>
        </w:rPr>
      </w:pPr>
      <w:r w:rsidRPr="00F70F61">
        <w:rPr>
          <w:rFonts w:ascii="仿宋" w:eastAsia="仿宋" w:hAnsi="仿宋" w:hint="eastAsia"/>
          <w:sz w:val="32"/>
          <w:szCs w:val="32"/>
        </w:rPr>
        <w:t>募集期结束前，战略投资者应当在约定的期限内，</w:t>
      </w:r>
      <w:r w:rsidR="00013F64">
        <w:rPr>
          <w:rFonts w:ascii="仿宋" w:eastAsia="仿宋" w:hAnsi="仿宋" w:hint="eastAsia"/>
          <w:sz w:val="32"/>
          <w:szCs w:val="32"/>
        </w:rPr>
        <w:t>按</w:t>
      </w:r>
      <w:r w:rsidRPr="00F70F61">
        <w:rPr>
          <w:rFonts w:ascii="仿宋" w:eastAsia="仿宋" w:hAnsi="仿宋" w:hint="eastAsia"/>
          <w:sz w:val="32"/>
          <w:szCs w:val="32"/>
        </w:rPr>
        <w:t>认购价格认购其承诺的基金份额数量</w:t>
      </w:r>
      <w:r w:rsidR="002767DD">
        <w:rPr>
          <w:rFonts w:ascii="仿宋" w:eastAsia="仿宋" w:hAnsi="仿宋" w:hint="eastAsia"/>
          <w:sz w:val="32"/>
          <w:szCs w:val="32"/>
        </w:rPr>
        <w:t>，</w:t>
      </w:r>
      <w:r w:rsidR="002767DD" w:rsidRPr="00D1764C">
        <w:rPr>
          <w:rFonts w:ascii="仿宋" w:eastAsia="仿宋" w:hAnsi="仿宋" w:hint="eastAsia"/>
          <w:sz w:val="32"/>
          <w:szCs w:val="32"/>
        </w:rPr>
        <w:t>并在募集期内通过基金管理人完成认购资金缴纳</w:t>
      </w:r>
      <w:r w:rsidRPr="00F70F61">
        <w:rPr>
          <w:rFonts w:ascii="仿宋" w:eastAsia="仿宋" w:hAnsi="仿宋" w:hint="eastAsia"/>
          <w:sz w:val="32"/>
          <w:szCs w:val="32"/>
        </w:rPr>
        <w:t>。</w:t>
      </w:r>
      <w:r w:rsidR="002B1E59">
        <w:rPr>
          <w:rFonts w:ascii="仿宋" w:eastAsia="仿宋" w:hAnsi="仿宋" w:hint="eastAsia"/>
          <w:sz w:val="32"/>
          <w:szCs w:val="32"/>
        </w:rPr>
        <w:t>战略投资者持有的基金份</w:t>
      </w:r>
      <w:r w:rsidR="002B1E59">
        <w:rPr>
          <w:rFonts w:ascii="仿宋" w:eastAsia="仿宋" w:hAnsi="仿宋" w:hint="eastAsia"/>
          <w:sz w:val="32"/>
          <w:szCs w:val="32"/>
        </w:rPr>
        <w:lastRenderedPageBreak/>
        <w:t>额在规定的持有期限内不得进行转让、交易。</w:t>
      </w:r>
    </w:p>
    <w:p w:rsidR="00B3397A" w:rsidRPr="00D1764C" w:rsidRDefault="00B3397A" w:rsidP="00B3397A">
      <w:pPr>
        <w:pStyle w:val="a7"/>
        <w:numPr>
          <w:ilvl w:val="0"/>
          <w:numId w:val="3"/>
        </w:numPr>
        <w:ind w:firstLineChars="0"/>
        <w:outlineLvl w:val="1"/>
        <w:rPr>
          <w:rFonts w:ascii="仿宋" w:eastAsia="仿宋" w:hAnsi="仿宋"/>
          <w:b/>
          <w:sz w:val="32"/>
          <w:szCs w:val="32"/>
        </w:rPr>
      </w:pPr>
      <w:r w:rsidRPr="00D1764C">
        <w:rPr>
          <w:rFonts w:ascii="仿宋" w:eastAsia="仿宋" w:hAnsi="仿宋" w:hint="eastAsia"/>
          <w:b/>
          <w:sz w:val="32"/>
          <w:szCs w:val="32"/>
        </w:rPr>
        <w:t>网下投资者如何认购基础设施基金？</w:t>
      </w:r>
    </w:p>
    <w:p w:rsidR="00B3397A" w:rsidRDefault="00B3397A" w:rsidP="00B3397A">
      <w:pPr>
        <w:pStyle w:val="a7"/>
        <w:ind w:left="420" w:firstLine="640"/>
        <w:outlineLvl w:val="1"/>
        <w:rPr>
          <w:rFonts w:ascii="仿宋" w:eastAsia="仿宋" w:hAnsi="仿宋"/>
          <w:sz w:val="32"/>
          <w:szCs w:val="32"/>
        </w:rPr>
      </w:pPr>
      <w:r>
        <w:rPr>
          <w:rFonts w:ascii="仿宋" w:eastAsia="仿宋" w:hAnsi="仿宋" w:hint="eastAsia"/>
          <w:sz w:val="32"/>
          <w:szCs w:val="32"/>
        </w:rPr>
        <w:t>网下投资者应当通过本所网下发行电子平台向基金管理人提交认购申请，</w:t>
      </w:r>
      <w:r w:rsidRPr="00B64AC4">
        <w:rPr>
          <w:rFonts w:ascii="仿宋" w:eastAsia="仿宋" w:hAnsi="仿宋" w:hint="eastAsia"/>
          <w:sz w:val="32"/>
          <w:szCs w:val="32"/>
        </w:rPr>
        <w:t>填报的认购数量不得低于询价阶段填报的“拟认购数量”</w:t>
      </w:r>
      <w:r>
        <w:rPr>
          <w:rFonts w:ascii="仿宋" w:eastAsia="仿宋" w:hAnsi="仿宋" w:hint="eastAsia"/>
          <w:sz w:val="32"/>
          <w:szCs w:val="32"/>
        </w:rPr>
        <w:t>，</w:t>
      </w:r>
      <w:r w:rsidRPr="00D1764C">
        <w:rPr>
          <w:rFonts w:ascii="仿宋" w:eastAsia="仿宋" w:hAnsi="仿宋" w:hint="eastAsia"/>
          <w:sz w:val="32"/>
          <w:szCs w:val="32"/>
        </w:rPr>
        <w:t>并在募集期内通过基金管理人完成认购资金的缴纳。</w:t>
      </w:r>
    </w:p>
    <w:p w:rsidR="00106344" w:rsidRPr="00444705" w:rsidRDefault="00106344" w:rsidP="00444705">
      <w:pPr>
        <w:pStyle w:val="a7"/>
        <w:numPr>
          <w:ilvl w:val="0"/>
          <w:numId w:val="3"/>
        </w:numPr>
        <w:ind w:firstLineChars="0"/>
        <w:outlineLvl w:val="1"/>
        <w:rPr>
          <w:rFonts w:ascii="仿宋" w:eastAsia="仿宋" w:hAnsi="仿宋"/>
          <w:b/>
          <w:sz w:val="32"/>
          <w:szCs w:val="32"/>
        </w:rPr>
      </w:pPr>
      <w:r w:rsidRPr="00444705">
        <w:rPr>
          <w:rFonts w:ascii="仿宋" w:eastAsia="仿宋" w:hAnsi="仿宋" w:hint="eastAsia"/>
          <w:b/>
          <w:sz w:val="32"/>
          <w:szCs w:val="32"/>
        </w:rPr>
        <w:t>公众投资者如何认购基础设施基金？</w:t>
      </w:r>
    </w:p>
    <w:p w:rsidR="00B64AC4" w:rsidRPr="00B64AC4" w:rsidRDefault="00106344" w:rsidP="00444705">
      <w:pPr>
        <w:pStyle w:val="a7"/>
        <w:ind w:left="420" w:firstLine="640"/>
        <w:outlineLvl w:val="1"/>
        <w:rPr>
          <w:rFonts w:ascii="仿宋" w:eastAsia="仿宋" w:hAnsi="仿宋"/>
          <w:sz w:val="32"/>
          <w:szCs w:val="32"/>
        </w:rPr>
      </w:pPr>
      <w:r w:rsidRPr="00106344">
        <w:rPr>
          <w:rFonts w:ascii="仿宋" w:eastAsia="仿宋" w:hAnsi="仿宋" w:hint="eastAsia"/>
          <w:sz w:val="32"/>
          <w:szCs w:val="32"/>
        </w:rPr>
        <w:t>募集期内，公众投资者可以通过场内证券经营机构或基金管理人及其委托的场外基金销售机构认购基金份额。</w:t>
      </w:r>
      <w:r w:rsidR="002767DD">
        <w:rPr>
          <w:rFonts w:ascii="仿宋" w:eastAsia="仿宋" w:hAnsi="仿宋" w:hint="eastAsia"/>
          <w:sz w:val="32"/>
          <w:szCs w:val="32"/>
        </w:rPr>
        <w:t>公众投资者的认购方式与现行LOF基金认购方式一致。</w:t>
      </w:r>
      <w:r w:rsidR="007F4B45">
        <w:rPr>
          <w:rFonts w:ascii="仿宋" w:eastAsia="仿宋" w:hAnsi="仿宋" w:hint="eastAsia"/>
          <w:sz w:val="32"/>
          <w:szCs w:val="32"/>
        </w:rPr>
        <w:t>公众投资者中的普通投资者在首次认购或买入基金份额前，</w:t>
      </w:r>
      <w:r w:rsidR="007F4B45" w:rsidRPr="00FA546D">
        <w:rPr>
          <w:rFonts w:ascii="仿宋" w:eastAsia="仿宋" w:hAnsi="仿宋" w:hint="eastAsia"/>
          <w:sz w:val="32"/>
          <w:szCs w:val="32"/>
        </w:rPr>
        <w:t>应当签署风险揭示书</w:t>
      </w:r>
      <w:r w:rsidR="007F4B45">
        <w:rPr>
          <w:rFonts w:ascii="仿宋" w:eastAsia="仿宋" w:hAnsi="仿宋" w:hint="eastAsia"/>
          <w:sz w:val="32"/>
          <w:szCs w:val="32"/>
        </w:rPr>
        <w:t>。</w:t>
      </w:r>
    </w:p>
    <w:p w:rsidR="00106344" w:rsidRPr="00444705" w:rsidRDefault="00106344" w:rsidP="00444705">
      <w:pPr>
        <w:pStyle w:val="a7"/>
        <w:numPr>
          <w:ilvl w:val="0"/>
          <w:numId w:val="3"/>
        </w:numPr>
        <w:ind w:firstLineChars="0"/>
        <w:outlineLvl w:val="1"/>
        <w:rPr>
          <w:rFonts w:ascii="仿宋" w:eastAsia="仿宋" w:hAnsi="仿宋"/>
          <w:b/>
          <w:sz w:val="32"/>
          <w:szCs w:val="32"/>
        </w:rPr>
      </w:pPr>
      <w:r w:rsidRPr="00444705">
        <w:rPr>
          <w:rFonts w:ascii="仿宋" w:eastAsia="仿宋" w:hAnsi="仿宋" w:hint="eastAsia"/>
          <w:b/>
          <w:sz w:val="32"/>
          <w:szCs w:val="32"/>
        </w:rPr>
        <w:t>哪些情形会导致募集失败？</w:t>
      </w:r>
    </w:p>
    <w:p w:rsidR="00C549D0" w:rsidRDefault="006C73F9" w:rsidP="00444705">
      <w:pPr>
        <w:pStyle w:val="a7"/>
        <w:ind w:left="420" w:firstLine="640"/>
        <w:outlineLvl w:val="1"/>
        <w:rPr>
          <w:rFonts w:ascii="仿宋" w:eastAsia="仿宋" w:hAnsi="仿宋"/>
          <w:sz w:val="32"/>
          <w:szCs w:val="32"/>
        </w:rPr>
      </w:pPr>
      <w:r w:rsidRPr="006C73F9">
        <w:rPr>
          <w:rFonts w:ascii="仿宋" w:eastAsia="仿宋" w:hAnsi="仿宋" w:hint="eastAsia"/>
          <w:sz w:val="32"/>
          <w:szCs w:val="32"/>
        </w:rPr>
        <w:t>基金募集期届满，出现下列情形的，基础设施基金募集失败：（一）基金份额总额未达到准予注册规模的80%；（二）募集资金规模不足2亿元，或投资人少于1000人；（三）原始权益人或其同一控制下的关联方未按规定参与战略配售；（四）扣除战略配售部分后，网下发售比例低于本次公开发售数量的70%</w:t>
      </w:r>
      <w:r w:rsidR="00444705">
        <w:rPr>
          <w:rFonts w:ascii="仿宋" w:eastAsia="仿宋" w:hAnsi="仿宋" w:hint="eastAsia"/>
          <w:sz w:val="32"/>
          <w:szCs w:val="32"/>
        </w:rPr>
        <w:t>；（五）导致基金募集失败的其他情形。</w:t>
      </w:r>
    </w:p>
    <w:p w:rsidR="00C549D0" w:rsidRDefault="00C549D0" w:rsidP="00CE1F35">
      <w:pPr>
        <w:rPr>
          <w:rFonts w:ascii="仿宋" w:eastAsia="仿宋" w:hAnsi="仿宋"/>
          <w:sz w:val="32"/>
          <w:szCs w:val="32"/>
        </w:rPr>
      </w:pPr>
    </w:p>
    <w:p w:rsidR="00CF24AA" w:rsidRPr="006C73F9" w:rsidRDefault="00C549D0">
      <w:pPr>
        <w:pStyle w:val="a7"/>
        <w:ind w:left="420" w:firstLineChars="0" w:firstLine="0"/>
        <w:outlineLvl w:val="1"/>
        <w:rPr>
          <w:rFonts w:ascii="仿宋" w:eastAsia="仿宋" w:hAnsi="仿宋"/>
          <w:sz w:val="32"/>
          <w:szCs w:val="32"/>
        </w:rPr>
      </w:pPr>
      <w:r w:rsidRPr="00C549D0">
        <w:rPr>
          <w:rFonts w:ascii="仿宋" w:eastAsia="仿宋" w:hAnsi="仿宋" w:hint="eastAsia"/>
          <w:sz w:val="32"/>
          <w:szCs w:val="32"/>
        </w:rPr>
        <w:t>（免责声明：本文仅为投资者教育之目的而发布，不构成</w:t>
      </w:r>
      <w:r w:rsidRPr="00C549D0">
        <w:rPr>
          <w:rFonts w:ascii="仿宋" w:eastAsia="仿宋" w:hAnsi="仿宋" w:hint="eastAsia"/>
          <w:sz w:val="32"/>
          <w:szCs w:val="32"/>
        </w:rPr>
        <w:lastRenderedPageBreak/>
        <w:t>投资建议。投资者据此操作，风险自担。深圳证券交易所力求本文所涉信息准确可靠，但并不对其准确性、完整性和及时性做出任何保证，对因使用本文引发的损失不承担责任。）</w:t>
      </w:r>
      <w:r w:rsidR="0020392E" w:rsidRPr="00444705">
        <w:rPr>
          <w:rFonts w:ascii="仿宋" w:eastAsia="仿宋" w:hAnsi="仿宋"/>
          <w:noProof/>
          <w:sz w:val="32"/>
          <w:szCs w:val="32"/>
        </w:rPr>
        <mc:AlternateContent>
          <mc:Choice Requires="wps">
            <w:drawing>
              <wp:anchor distT="0" distB="0" distL="114300" distR="114300" simplePos="0" relativeHeight="251659264" behindDoc="0" locked="1" layoutInCell="0" allowOverlap="1" wp14:anchorId="7F602EF8" wp14:editId="27F6E398">
                <wp:simplePos x="0" y="0"/>
                <wp:positionH relativeFrom="margin">
                  <wp:align>right</wp:align>
                </wp:positionH>
                <wp:positionV relativeFrom="topMargin">
                  <wp:align>bottom</wp:align>
                </wp:positionV>
                <wp:extent cx="1410970" cy="244475"/>
                <wp:effectExtent l="0" t="0" r="1778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244475"/>
                        </a:xfrm>
                        <a:prstGeom prst="rect">
                          <a:avLst/>
                        </a:prstGeom>
                        <a:solidFill>
                          <a:srgbClr val="FFFFFF">
                            <a:alpha val="75000"/>
                          </a:srgbClr>
                        </a:solidFill>
                        <a:ln w="19050">
                          <a:solidFill>
                            <a:srgbClr val="FF0000"/>
                          </a:solidFill>
                          <a:miter lim="800000"/>
                          <a:headEnd/>
                          <a:tailEnd/>
                        </a:ln>
                      </wps:spPr>
                      <wps:txbx>
                        <w:txbxContent>
                          <w:p w:rsidR="0020392E" w:rsidRPr="00B80A37" w:rsidRDefault="0020392E" w:rsidP="0020392E">
                            <w:pPr>
                              <w:spacing w:line="240" w:lineRule="exact"/>
                              <w:jc w:val="center"/>
                              <w:rPr>
                                <w:rFonts w:ascii="宋体" w:hAnsi="宋体"/>
                                <w:b/>
                                <w:color w:val="FF0000"/>
                                <w:szCs w:val="21"/>
                              </w:rPr>
                            </w:pPr>
                            <w:r w:rsidRPr="00B80A37">
                              <w:rPr>
                                <w:rFonts w:ascii="宋体" w:hAnsi="宋体" w:hint="eastAsia"/>
                                <w:b/>
                                <w:color w:val="FF0000"/>
                                <w:szCs w:val="21"/>
                              </w:rPr>
                              <w:t>内部使用</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9pt;margin-top:0;width:111.1pt;height:19.25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4myNQIAAHIEAAAOAAAAZHJzL2Uyb0RvYy54bWysVNtu2zAMfR+wfxD0vthJk6Y14hRdugwD&#10;ugvQ7gNkWbaF6TZJiZ19fSnJybwN2MMwPwiiRB0eHpLe3A1SoCOzjmtV4vksx4gpqmuu2hJ/fd6/&#10;ucHIeaJqIrRiJT4xh++2r19telOwhe60qJlFAKJc0ZsSd96bIssc7ZgkbqYNU3DZaCuJB9O2WW1J&#10;D+hSZIs8v856bWtjNWXOwelDusTbiN80jPrPTeOYR6LEwM3H1ca1Cmu23ZCitcR0nI40yD+wkIQr&#10;CHqBeiCeoIPlf0BJTq12uvEzqmWmm4ZTFnOAbOb5b9k8dcSwmAuI48xFJvf/YOmn4xeLeF3iK4wU&#10;kVCiZzZ49FYPaBHU6Y0rwOnJgJsf4BiqHDN15lHTbw4pveuIatm9tbrvGKmB3Ty8zCZPE44LIFX/&#10;UdcQhhy8jkBDY2WQDsRAgA5VOl0qE6jQEHI5z2/XcEXhbrFcLterGIIU59fGOv+eaYnCpsQWKh/R&#10;yfHR+cCGFGeXEMxpwes9FyIatq12wqIjgS7Zxy+9FaYj6XS9yvPYLYDjknvE/AVHKNQD19t8lSeJ&#10;/hIE4C54UzfJPQyE4LLEN8FnbNEg7DtVx3b1hIu0BzJCjUoHcZPMfqiGsXKVrk+gudWp8WFQYdNp&#10;+wOjHpq+xO77gViGkfigoG5X1yEg8lPDTo1qahBFAarEHqO03fk0WQdjedtBpHOn3EOt9zyWITRF&#10;YjXyhsaOSo5DGCZnakevn7+K7QsAAAD//wMAUEsDBBQABgAIAAAAIQBt1V/H3AAAAAQBAAAPAAAA&#10;ZHJzL2Rvd25yZXYueG1sTI/NS8NAEMXvgv/DMoI3u2m1tsRsivgBXjz0AyS3aXZMQrOzYXfbxv/e&#10;0YvO4cHwhvd+U6xG16sThdh5NjCdZKCIa287bgzstq83S1AxIVvsPZOBL4qwKi8vCsytP/OaTpvU&#10;KAnhmKOBNqUh1zrWLTmMEz8Qi/fpg8Mka2i0DXiWcNfrWZbda4cdS0OLAz21VB82R2dgPS6GO3qu&#10;Pubb3Ut4rxaHafWWGXN9NT4+gEo0pr9j+MEXdCiFae+PbKPqDcgj6VfFm8mA2hu4Xc5Bl4X+D19+&#10;AwAA//8DAFBLAQItABQABgAIAAAAIQC2gziS/gAAAOEBAAATAAAAAAAAAAAAAAAAAAAAAABbQ29u&#10;dGVudF9UeXBlc10ueG1sUEsBAi0AFAAGAAgAAAAhADj9If/WAAAAlAEAAAsAAAAAAAAAAAAAAAAA&#10;LwEAAF9yZWxzLy5yZWxzUEsBAi0AFAAGAAgAAAAhAKDnibI1AgAAcgQAAA4AAAAAAAAAAAAAAAAA&#10;LgIAAGRycy9lMm9Eb2MueG1sUEsBAi0AFAAGAAgAAAAhAG3VX8fcAAAABAEAAA8AAAAAAAAAAAAA&#10;AAAAjwQAAGRycy9kb3ducmV2LnhtbFBLBQYAAAAABAAEAPMAAACYBQAAAAA=&#10;" o:allowincell="f" strokecolor="red" strokeweight="1.5pt">
                <v:fill opacity="49087f"/>
                <v:textbox style="mso-fit-shape-to-text:t" inset="1mm,1mm,1mm,1mm">
                  <w:txbxContent>
                    <w:p w:rsidR="0020392E" w:rsidRPr="00B80A37" w:rsidRDefault="0020392E" w:rsidP="0020392E">
                      <w:pPr>
                        <w:spacing w:line="240" w:lineRule="exact"/>
                        <w:jc w:val="center"/>
                        <w:rPr>
                          <w:rFonts w:ascii="宋体" w:hAnsi="宋体"/>
                          <w:b/>
                          <w:color w:val="FF0000"/>
                          <w:szCs w:val="21"/>
                        </w:rPr>
                      </w:pPr>
                      <w:r w:rsidRPr="00B80A37">
                        <w:rPr>
                          <w:rFonts w:ascii="宋体" w:hAnsi="宋体" w:hint="eastAsia"/>
                          <w:b/>
                          <w:color w:val="FF0000"/>
                          <w:szCs w:val="21"/>
                        </w:rPr>
                        <w:t>内部使用</w:t>
                      </w:r>
                    </w:p>
                  </w:txbxContent>
                </v:textbox>
                <w10:wrap anchorx="margin" anchory="margin"/>
                <w10:anchorlock/>
              </v:shape>
            </w:pict>
          </mc:Fallback>
        </mc:AlternateContent>
      </w:r>
      <w:bookmarkEnd w:id="0"/>
    </w:p>
    <w:sectPr w:rsidR="00CF24AA" w:rsidRPr="006C73F9">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976" w:rsidRDefault="007E5976" w:rsidP="00106344">
      <w:r>
        <w:separator/>
      </w:r>
    </w:p>
  </w:endnote>
  <w:endnote w:type="continuationSeparator" w:id="0">
    <w:p w:rsidR="007E5976" w:rsidRDefault="007E5976" w:rsidP="0010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670384"/>
      <w:docPartObj>
        <w:docPartGallery w:val="Page Numbers (Bottom of Page)"/>
        <w:docPartUnique/>
      </w:docPartObj>
    </w:sdtPr>
    <w:sdtEndPr/>
    <w:sdtContent>
      <w:p w:rsidR="00B64AC4" w:rsidRDefault="00B64AC4">
        <w:pPr>
          <w:pStyle w:val="a4"/>
          <w:jc w:val="center"/>
        </w:pPr>
        <w:r>
          <w:fldChar w:fldCharType="begin"/>
        </w:r>
        <w:r>
          <w:instrText>PAGE   \* MERGEFORMAT</w:instrText>
        </w:r>
        <w:r>
          <w:fldChar w:fldCharType="separate"/>
        </w:r>
        <w:r w:rsidR="005B576A" w:rsidRPr="005B576A">
          <w:rPr>
            <w:noProof/>
            <w:lang w:val="zh-CN"/>
          </w:rPr>
          <w:t>1</w:t>
        </w:r>
        <w:r>
          <w:fldChar w:fldCharType="end"/>
        </w:r>
      </w:p>
    </w:sdtContent>
  </w:sdt>
  <w:p w:rsidR="00B64AC4" w:rsidRDefault="00B64A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976" w:rsidRDefault="007E5976" w:rsidP="00106344">
      <w:r>
        <w:separator/>
      </w:r>
    </w:p>
  </w:footnote>
  <w:footnote w:type="continuationSeparator" w:id="0">
    <w:p w:rsidR="007E5976" w:rsidRDefault="007E5976" w:rsidP="00106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27BC5"/>
    <w:multiLevelType w:val="hybridMultilevel"/>
    <w:tmpl w:val="27F2CA6A"/>
    <w:lvl w:ilvl="0" w:tplc="69B81B14">
      <w:start w:val="1"/>
      <w:numFmt w:val="decimal"/>
      <w:lvlText w:val="%1."/>
      <w:lvlJc w:val="left"/>
      <w:pPr>
        <w:ind w:left="480" w:hanging="48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990084"/>
    <w:multiLevelType w:val="multilevel"/>
    <w:tmpl w:val="47990084"/>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46D671E"/>
    <w:multiLevelType w:val="hybridMultilevel"/>
    <w:tmpl w:val="35F69238"/>
    <w:lvl w:ilvl="0" w:tplc="0E6ED84C">
      <w:start w:val="1"/>
      <w:numFmt w:val="chineseCountingThousand"/>
      <w:lvlText w:val="第%1条"/>
      <w:lvlJc w:val="left"/>
      <w:pPr>
        <w:ind w:left="1117" w:firstLine="18"/>
      </w:pPr>
      <w:rPr>
        <w:rFonts w:ascii="仿宋" w:eastAsia="仿宋" w:hAnsi="仿宋" w:hint="eastAsia"/>
        <w:b/>
        <w:color w:val="000000"/>
        <w:lang w:val="en-US"/>
      </w:rPr>
    </w:lvl>
    <w:lvl w:ilvl="1" w:tplc="04090019" w:tentative="1">
      <w:start w:val="1"/>
      <w:numFmt w:val="lowerLetter"/>
      <w:lvlText w:val="%2)"/>
      <w:lvlJc w:val="left"/>
      <w:pPr>
        <w:ind w:left="2825" w:hanging="420"/>
      </w:pPr>
    </w:lvl>
    <w:lvl w:ilvl="2" w:tplc="0409001B" w:tentative="1">
      <w:start w:val="1"/>
      <w:numFmt w:val="lowerRoman"/>
      <w:lvlText w:val="%3."/>
      <w:lvlJc w:val="right"/>
      <w:pPr>
        <w:ind w:left="3245" w:hanging="420"/>
      </w:pPr>
    </w:lvl>
    <w:lvl w:ilvl="3" w:tplc="0409000F" w:tentative="1">
      <w:start w:val="1"/>
      <w:numFmt w:val="decimal"/>
      <w:lvlText w:val="%4."/>
      <w:lvlJc w:val="left"/>
      <w:pPr>
        <w:ind w:left="3665" w:hanging="420"/>
      </w:pPr>
    </w:lvl>
    <w:lvl w:ilvl="4" w:tplc="04090019" w:tentative="1">
      <w:start w:val="1"/>
      <w:numFmt w:val="lowerLetter"/>
      <w:lvlText w:val="%5)"/>
      <w:lvlJc w:val="left"/>
      <w:pPr>
        <w:ind w:left="4085" w:hanging="420"/>
      </w:pPr>
    </w:lvl>
    <w:lvl w:ilvl="5" w:tplc="0409001B" w:tentative="1">
      <w:start w:val="1"/>
      <w:numFmt w:val="lowerRoman"/>
      <w:lvlText w:val="%6."/>
      <w:lvlJc w:val="right"/>
      <w:pPr>
        <w:ind w:left="4505" w:hanging="420"/>
      </w:pPr>
    </w:lvl>
    <w:lvl w:ilvl="6" w:tplc="0409000F" w:tentative="1">
      <w:start w:val="1"/>
      <w:numFmt w:val="decimal"/>
      <w:lvlText w:val="%7."/>
      <w:lvlJc w:val="left"/>
      <w:pPr>
        <w:ind w:left="4925" w:hanging="420"/>
      </w:pPr>
    </w:lvl>
    <w:lvl w:ilvl="7" w:tplc="04090019" w:tentative="1">
      <w:start w:val="1"/>
      <w:numFmt w:val="lowerLetter"/>
      <w:lvlText w:val="%8)"/>
      <w:lvlJc w:val="left"/>
      <w:pPr>
        <w:ind w:left="5345" w:hanging="420"/>
      </w:pPr>
    </w:lvl>
    <w:lvl w:ilvl="8" w:tplc="0409001B" w:tentative="1">
      <w:start w:val="1"/>
      <w:numFmt w:val="lowerRoman"/>
      <w:lvlText w:val="%9."/>
      <w:lvlJc w:val="right"/>
      <w:pPr>
        <w:ind w:left="5765" w:hanging="420"/>
      </w:pPr>
    </w:lvl>
  </w:abstractNum>
  <w:abstractNum w:abstractNumId="3">
    <w:nsid w:val="73931F61"/>
    <w:multiLevelType w:val="multilevel"/>
    <w:tmpl w:val="47990084"/>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hwang">
    <w15:presenceInfo w15:providerId="None" w15:userId="lhwang"/>
  </w15:person>
  <w15:person w15:author="wang hui">
    <w15:presenceInfo w15:providerId="Windows Live" w15:userId="3ba9a57334a47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66"/>
    <w:rsid w:val="00013F64"/>
    <w:rsid w:val="000447F5"/>
    <w:rsid w:val="00061AC6"/>
    <w:rsid w:val="000B6FA3"/>
    <w:rsid w:val="000E40D8"/>
    <w:rsid w:val="000F138F"/>
    <w:rsid w:val="00106344"/>
    <w:rsid w:val="00115E0E"/>
    <w:rsid w:val="001777A9"/>
    <w:rsid w:val="00186F2B"/>
    <w:rsid w:val="00191125"/>
    <w:rsid w:val="0019758B"/>
    <w:rsid w:val="0019798A"/>
    <w:rsid w:val="001D08D4"/>
    <w:rsid w:val="0020392E"/>
    <w:rsid w:val="00235918"/>
    <w:rsid w:val="00256F64"/>
    <w:rsid w:val="0026529D"/>
    <w:rsid w:val="002767DD"/>
    <w:rsid w:val="00277510"/>
    <w:rsid w:val="00297F09"/>
    <w:rsid w:val="002B1E59"/>
    <w:rsid w:val="002E11E2"/>
    <w:rsid w:val="00325C8B"/>
    <w:rsid w:val="0033037E"/>
    <w:rsid w:val="00331C23"/>
    <w:rsid w:val="003A26DD"/>
    <w:rsid w:val="0041139F"/>
    <w:rsid w:val="0043191A"/>
    <w:rsid w:val="00444692"/>
    <w:rsid w:val="00444705"/>
    <w:rsid w:val="00474FB0"/>
    <w:rsid w:val="004E4202"/>
    <w:rsid w:val="0055780F"/>
    <w:rsid w:val="00571CBB"/>
    <w:rsid w:val="00583B8A"/>
    <w:rsid w:val="005B576A"/>
    <w:rsid w:val="005D34DE"/>
    <w:rsid w:val="005E3043"/>
    <w:rsid w:val="005E6C34"/>
    <w:rsid w:val="00605078"/>
    <w:rsid w:val="00606BC7"/>
    <w:rsid w:val="0061596B"/>
    <w:rsid w:val="00632BA1"/>
    <w:rsid w:val="00635766"/>
    <w:rsid w:val="006400A7"/>
    <w:rsid w:val="006431DB"/>
    <w:rsid w:val="00653BF1"/>
    <w:rsid w:val="00655D72"/>
    <w:rsid w:val="00683133"/>
    <w:rsid w:val="006A35E8"/>
    <w:rsid w:val="006B2A27"/>
    <w:rsid w:val="006B2F42"/>
    <w:rsid w:val="006C73F9"/>
    <w:rsid w:val="007B0CC9"/>
    <w:rsid w:val="007B6158"/>
    <w:rsid w:val="007E5976"/>
    <w:rsid w:val="007F4B45"/>
    <w:rsid w:val="00801313"/>
    <w:rsid w:val="008728B6"/>
    <w:rsid w:val="00884F6B"/>
    <w:rsid w:val="00884F6E"/>
    <w:rsid w:val="008D55DB"/>
    <w:rsid w:val="009133E9"/>
    <w:rsid w:val="00927BBA"/>
    <w:rsid w:val="00974986"/>
    <w:rsid w:val="009F5110"/>
    <w:rsid w:val="00A241C5"/>
    <w:rsid w:val="00A547CB"/>
    <w:rsid w:val="00A73DC1"/>
    <w:rsid w:val="00B212B1"/>
    <w:rsid w:val="00B27845"/>
    <w:rsid w:val="00B3397A"/>
    <w:rsid w:val="00B341C1"/>
    <w:rsid w:val="00B64AC4"/>
    <w:rsid w:val="00BD6E11"/>
    <w:rsid w:val="00C0586A"/>
    <w:rsid w:val="00C44923"/>
    <w:rsid w:val="00C51BB8"/>
    <w:rsid w:val="00C549D0"/>
    <w:rsid w:val="00C66037"/>
    <w:rsid w:val="00CE1F35"/>
    <w:rsid w:val="00CF24AA"/>
    <w:rsid w:val="00D40E83"/>
    <w:rsid w:val="00D859F5"/>
    <w:rsid w:val="00DA66C8"/>
    <w:rsid w:val="00DC7E05"/>
    <w:rsid w:val="00DD45CC"/>
    <w:rsid w:val="00E014BD"/>
    <w:rsid w:val="00E0229F"/>
    <w:rsid w:val="00EA5F56"/>
    <w:rsid w:val="00F21C7E"/>
    <w:rsid w:val="00F70F61"/>
    <w:rsid w:val="00F86AAF"/>
    <w:rsid w:val="00FA0073"/>
    <w:rsid w:val="00FA1654"/>
    <w:rsid w:val="00FE2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3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3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6344"/>
    <w:rPr>
      <w:sz w:val="18"/>
      <w:szCs w:val="18"/>
    </w:rPr>
  </w:style>
  <w:style w:type="paragraph" w:styleId="a4">
    <w:name w:val="footer"/>
    <w:basedOn w:val="a"/>
    <w:link w:val="Char0"/>
    <w:uiPriority w:val="99"/>
    <w:unhideWhenUsed/>
    <w:rsid w:val="00106344"/>
    <w:pPr>
      <w:tabs>
        <w:tab w:val="center" w:pos="4153"/>
        <w:tab w:val="right" w:pos="8306"/>
      </w:tabs>
      <w:snapToGrid w:val="0"/>
      <w:jc w:val="left"/>
    </w:pPr>
    <w:rPr>
      <w:sz w:val="18"/>
      <w:szCs w:val="18"/>
    </w:rPr>
  </w:style>
  <w:style w:type="character" w:customStyle="1" w:styleId="Char0">
    <w:name w:val="页脚 Char"/>
    <w:basedOn w:val="a0"/>
    <w:link w:val="a4"/>
    <w:uiPriority w:val="99"/>
    <w:rsid w:val="00106344"/>
    <w:rPr>
      <w:sz w:val="18"/>
      <w:szCs w:val="18"/>
    </w:rPr>
  </w:style>
  <w:style w:type="paragraph" w:styleId="a5">
    <w:name w:val="annotation text"/>
    <w:basedOn w:val="a"/>
    <w:link w:val="Char1"/>
    <w:uiPriority w:val="99"/>
    <w:semiHidden/>
    <w:unhideWhenUsed/>
    <w:qFormat/>
    <w:rsid w:val="00106344"/>
    <w:pPr>
      <w:jc w:val="left"/>
    </w:pPr>
  </w:style>
  <w:style w:type="character" w:customStyle="1" w:styleId="Char1">
    <w:name w:val="批注文字 Char"/>
    <w:basedOn w:val="a0"/>
    <w:link w:val="a5"/>
    <w:uiPriority w:val="99"/>
    <w:semiHidden/>
    <w:qFormat/>
    <w:rsid w:val="00106344"/>
  </w:style>
  <w:style w:type="character" w:styleId="a6">
    <w:name w:val="annotation reference"/>
    <w:basedOn w:val="a0"/>
    <w:uiPriority w:val="99"/>
    <w:unhideWhenUsed/>
    <w:rsid w:val="00106344"/>
    <w:rPr>
      <w:sz w:val="21"/>
      <w:szCs w:val="21"/>
    </w:rPr>
  </w:style>
  <w:style w:type="paragraph" w:styleId="a7">
    <w:name w:val="List Paragraph"/>
    <w:basedOn w:val="a"/>
    <w:link w:val="Char2"/>
    <w:uiPriority w:val="34"/>
    <w:qFormat/>
    <w:rsid w:val="00106344"/>
    <w:pPr>
      <w:ind w:firstLineChars="200" w:firstLine="420"/>
    </w:pPr>
  </w:style>
  <w:style w:type="character" w:customStyle="1" w:styleId="Char2">
    <w:name w:val="列出段落 Char"/>
    <w:link w:val="a7"/>
    <w:qFormat/>
    <w:rsid w:val="00106344"/>
  </w:style>
  <w:style w:type="paragraph" w:styleId="a8">
    <w:name w:val="Balloon Text"/>
    <w:basedOn w:val="a"/>
    <w:link w:val="Char3"/>
    <w:uiPriority w:val="99"/>
    <w:semiHidden/>
    <w:unhideWhenUsed/>
    <w:rsid w:val="00106344"/>
    <w:rPr>
      <w:sz w:val="18"/>
      <w:szCs w:val="18"/>
    </w:rPr>
  </w:style>
  <w:style w:type="character" w:customStyle="1" w:styleId="Char3">
    <w:name w:val="批注框文本 Char"/>
    <w:basedOn w:val="a0"/>
    <w:link w:val="a8"/>
    <w:uiPriority w:val="99"/>
    <w:semiHidden/>
    <w:rsid w:val="00106344"/>
    <w:rPr>
      <w:sz w:val="18"/>
      <w:szCs w:val="18"/>
    </w:rPr>
  </w:style>
  <w:style w:type="character" w:customStyle="1" w:styleId="fontstyle01">
    <w:name w:val="fontstyle01"/>
    <w:rsid w:val="00106344"/>
    <w:rPr>
      <w:rFonts w:ascii="华文中宋" w:eastAsia="华文中宋" w:hAnsi="华文中宋" w:hint="eastAsia"/>
      <w:color w:val="000000"/>
      <w:sz w:val="36"/>
      <w:szCs w:val="36"/>
    </w:rPr>
  </w:style>
  <w:style w:type="paragraph" w:styleId="a9">
    <w:name w:val="annotation subject"/>
    <w:basedOn w:val="a5"/>
    <w:next w:val="a5"/>
    <w:link w:val="Char4"/>
    <w:uiPriority w:val="99"/>
    <w:semiHidden/>
    <w:unhideWhenUsed/>
    <w:rsid w:val="001777A9"/>
    <w:rPr>
      <w:b/>
      <w:bCs/>
    </w:rPr>
  </w:style>
  <w:style w:type="character" w:customStyle="1" w:styleId="Char4">
    <w:name w:val="批注主题 Char"/>
    <w:basedOn w:val="Char1"/>
    <w:link w:val="a9"/>
    <w:uiPriority w:val="99"/>
    <w:semiHidden/>
    <w:rsid w:val="001777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3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3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6344"/>
    <w:rPr>
      <w:sz w:val="18"/>
      <w:szCs w:val="18"/>
    </w:rPr>
  </w:style>
  <w:style w:type="paragraph" w:styleId="a4">
    <w:name w:val="footer"/>
    <w:basedOn w:val="a"/>
    <w:link w:val="Char0"/>
    <w:uiPriority w:val="99"/>
    <w:unhideWhenUsed/>
    <w:rsid w:val="00106344"/>
    <w:pPr>
      <w:tabs>
        <w:tab w:val="center" w:pos="4153"/>
        <w:tab w:val="right" w:pos="8306"/>
      </w:tabs>
      <w:snapToGrid w:val="0"/>
      <w:jc w:val="left"/>
    </w:pPr>
    <w:rPr>
      <w:sz w:val="18"/>
      <w:szCs w:val="18"/>
    </w:rPr>
  </w:style>
  <w:style w:type="character" w:customStyle="1" w:styleId="Char0">
    <w:name w:val="页脚 Char"/>
    <w:basedOn w:val="a0"/>
    <w:link w:val="a4"/>
    <w:uiPriority w:val="99"/>
    <w:rsid w:val="00106344"/>
    <w:rPr>
      <w:sz w:val="18"/>
      <w:szCs w:val="18"/>
    </w:rPr>
  </w:style>
  <w:style w:type="paragraph" w:styleId="a5">
    <w:name w:val="annotation text"/>
    <w:basedOn w:val="a"/>
    <w:link w:val="Char1"/>
    <w:uiPriority w:val="99"/>
    <w:semiHidden/>
    <w:unhideWhenUsed/>
    <w:qFormat/>
    <w:rsid w:val="00106344"/>
    <w:pPr>
      <w:jc w:val="left"/>
    </w:pPr>
  </w:style>
  <w:style w:type="character" w:customStyle="1" w:styleId="Char1">
    <w:name w:val="批注文字 Char"/>
    <w:basedOn w:val="a0"/>
    <w:link w:val="a5"/>
    <w:uiPriority w:val="99"/>
    <w:semiHidden/>
    <w:qFormat/>
    <w:rsid w:val="00106344"/>
  </w:style>
  <w:style w:type="character" w:styleId="a6">
    <w:name w:val="annotation reference"/>
    <w:basedOn w:val="a0"/>
    <w:uiPriority w:val="99"/>
    <w:unhideWhenUsed/>
    <w:rsid w:val="00106344"/>
    <w:rPr>
      <w:sz w:val="21"/>
      <w:szCs w:val="21"/>
    </w:rPr>
  </w:style>
  <w:style w:type="paragraph" w:styleId="a7">
    <w:name w:val="List Paragraph"/>
    <w:basedOn w:val="a"/>
    <w:link w:val="Char2"/>
    <w:uiPriority w:val="34"/>
    <w:qFormat/>
    <w:rsid w:val="00106344"/>
    <w:pPr>
      <w:ind w:firstLineChars="200" w:firstLine="420"/>
    </w:pPr>
  </w:style>
  <w:style w:type="character" w:customStyle="1" w:styleId="Char2">
    <w:name w:val="列出段落 Char"/>
    <w:link w:val="a7"/>
    <w:qFormat/>
    <w:rsid w:val="00106344"/>
  </w:style>
  <w:style w:type="paragraph" w:styleId="a8">
    <w:name w:val="Balloon Text"/>
    <w:basedOn w:val="a"/>
    <w:link w:val="Char3"/>
    <w:uiPriority w:val="99"/>
    <w:semiHidden/>
    <w:unhideWhenUsed/>
    <w:rsid w:val="00106344"/>
    <w:rPr>
      <w:sz w:val="18"/>
      <w:szCs w:val="18"/>
    </w:rPr>
  </w:style>
  <w:style w:type="character" w:customStyle="1" w:styleId="Char3">
    <w:name w:val="批注框文本 Char"/>
    <w:basedOn w:val="a0"/>
    <w:link w:val="a8"/>
    <w:uiPriority w:val="99"/>
    <w:semiHidden/>
    <w:rsid w:val="00106344"/>
    <w:rPr>
      <w:sz w:val="18"/>
      <w:szCs w:val="18"/>
    </w:rPr>
  </w:style>
  <w:style w:type="character" w:customStyle="1" w:styleId="fontstyle01">
    <w:name w:val="fontstyle01"/>
    <w:rsid w:val="00106344"/>
    <w:rPr>
      <w:rFonts w:ascii="华文中宋" w:eastAsia="华文中宋" w:hAnsi="华文中宋" w:hint="eastAsia"/>
      <w:color w:val="000000"/>
      <w:sz w:val="36"/>
      <w:szCs w:val="36"/>
    </w:rPr>
  </w:style>
  <w:style w:type="paragraph" w:styleId="a9">
    <w:name w:val="annotation subject"/>
    <w:basedOn w:val="a5"/>
    <w:next w:val="a5"/>
    <w:link w:val="Char4"/>
    <w:uiPriority w:val="99"/>
    <w:semiHidden/>
    <w:unhideWhenUsed/>
    <w:rsid w:val="001777A9"/>
    <w:rPr>
      <w:b/>
      <w:bCs/>
    </w:rPr>
  </w:style>
  <w:style w:type="character" w:customStyle="1" w:styleId="Char4">
    <w:name w:val="批注主题 Char"/>
    <w:basedOn w:val="Char1"/>
    <w:link w:val="a9"/>
    <w:uiPriority w:val="99"/>
    <w:semiHidden/>
    <w:rsid w:val="001777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ACCAF-34BE-40A0-868E-00B06B6BC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12BD5F-AA1C-4540-A596-3F7AEAF89F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EFC0C3-8A03-4FD0-884C-F7A4AB400466}">
  <ds:schemaRefs>
    <ds:schemaRef ds:uri="http://schemas.microsoft.com/sharepoint/v3/contenttype/forms"/>
  </ds:schemaRefs>
</ds:datastoreItem>
</file>

<file path=customXml/itemProps4.xml><?xml version="1.0" encoding="utf-8"?>
<ds:datastoreItem xmlns:ds="http://schemas.openxmlformats.org/officeDocument/2006/customXml" ds:itemID="{145A5872-9028-4FE7-A847-16BE7D73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141</Words>
  <Characters>810</Characters>
  <Application>Microsoft Office Word</Application>
  <DocSecurity>0</DocSecurity>
  <Lines>6</Lines>
  <Paragraphs>1</Paragraphs>
  <ScaleCrop>false</ScaleCrop>
  <Company>P R C</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陈昱[chenyu]</dc:creator>
  <cp:lastModifiedBy>陈洁[jiec]</cp:lastModifiedBy>
  <cp:revision>9</cp:revision>
  <dcterms:created xsi:type="dcterms:W3CDTF">2021-03-07T08:09:00Z</dcterms:created>
  <dcterms:modified xsi:type="dcterms:W3CDTF">2021-03-24T01:38:00Z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0x0101008A1CD0ACEFB685468ADC9D3ECFE50AA2</vt:lpwstr>
  </property>
</Properties>
</file>